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12FA0">
      <w:pPr>
        <w:jc w:val="both"/>
        <w:outlineLvl w:val="9"/>
        <w:rPr>
          <w:rFonts w:hint="eastAsia"/>
          <w:lang w:val="en-US" w:eastAsia="zh-CN"/>
        </w:rPr>
      </w:pPr>
    </w:p>
    <w:p w14:paraId="3096E359">
      <w:pPr>
        <w:outlineLvl w:val="9"/>
        <w:rPr>
          <w:rFonts w:hint="eastAsia"/>
          <w:lang w:val="en-US" w:eastAsia="zh-CN"/>
        </w:rPr>
      </w:pPr>
    </w:p>
    <w:p w14:paraId="22C651BC">
      <w:pPr>
        <w:outlineLvl w:val="9"/>
        <w:rPr>
          <w:rFonts w:hint="eastAsia"/>
          <w:lang w:val="en-US" w:eastAsia="zh-CN"/>
        </w:rPr>
      </w:pPr>
    </w:p>
    <w:p w14:paraId="0873ECA3">
      <w:pPr>
        <w:outlineLvl w:val="9"/>
        <w:rPr>
          <w:rFonts w:hint="eastAsia"/>
          <w:lang w:val="en-US" w:eastAsia="zh-CN"/>
        </w:rPr>
      </w:pPr>
    </w:p>
    <w:p w14:paraId="0A0466E5">
      <w:pPr>
        <w:outlineLvl w:val="9"/>
        <w:rPr>
          <w:rFonts w:hint="eastAsia"/>
          <w:lang w:val="en-US" w:eastAsia="zh-CN"/>
        </w:rPr>
      </w:pPr>
    </w:p>
    <w:p w14:paraId="1B4E6605">
      <w:pPr>
        <w:outlineLvl w:val="9"/>
        <w:rPr>
          <w:rFonts w:hint="eastAsia"/>
          <w:lang w:val="en-US" w:eastAsia="zh-CN"/>
        </w:rPr>
      </w:pPr>
    </w:p>
    <w:p w14:paraId="1F32B980">
      <w:pPr>
        <w:outlineLvl w:val="9"/>
        <w:rPr>
          <w:rFonts w:hint="eastAsia"/>
          <w:lang w:val="en-US" w:eastAsia="zh-CN"/>
        </w:rPr>
      </w:pPr>
    </w:p>
    <w:p w14:paraId="54472142">
      <w:pPr>
        <w:outlineLvl w:val="9"/>
        <w:rPr>
          <w:rFonts w:hint="eastAsia"/>
          <w:lang w:val="en-US" w:eastAsia="zh-CN"/>
        </w:rPr>
      </w:pPr>
    </w:p>
    <w:p w14:paraId="3AAB412D">
      <w:pPr>
        <w:outlineLvl w:val="9"/>
        <w:rPr>
          <w:rFonts w:hint="eastAsia"/>
          <w:lang w:val="en-US" w:eastAsia="zh-CN"/>
        </w:rPr>
      </w:pPr>
    </w:p>
    <w:p w14:paraId="28198B4F">
      <w:pPr>
        <w:outlineLvl w:val="9"/>
        <w:rPr>
          <w:rFonts w:hint="eastAsia"/>
          <w:lang w:val="en-US" w:eastAsia="zh-CN"/>
        </w:rPr>
      </w:pPr>
    </w:p>
    <w:p w14:paraId="787C44ED">
      <w:pPr>
        <w:spacing w:before="270"/>
        <w:ind w:left="1055" w:right="1072"/>
        <w:jc w:val="center"/>
        <w:outlineLvl w:val="9"/>
        <w:rPr>
          <w:rFonts w:hint="eastAsia" w:ascii="宋体" w:hAnsi="宋体" w:eastAsia="宋体" w:cs="宋体"/>
          <w:b/>
          <w:sz w:val="52"/>
        </w:rPr>
      </w:pPr>
      <w:r>
        <w:rPr>
          <w:rFonts w:hint="eastAsia" w:ascii="宋体" w:hAnsi="宋体" w:eastAsia="宋体" w:cs="宋体"/>
          <w:color w:val="auto"/>
          <w:sz w:val="44"/>
          <w:szCs w:val="44"/>
          <w:highlight w:val="none"/>
          <w:lang w:val="en-US" w:eastAsia="zh-CN"/>
        </w:rPr>
        <w:t>采购</w:t>
      </w:r>
      <w:r>
        <w:rPr>
          <w:rFonts w:hint="eastAsia" w:ascii="宋体" w:hAnsi="宋体" w:eastAsia="宋体" w:cs="宋体"/>
          <w:color w:val="auto"/>
          <w:sz w:val="44"/>
          <w:szCs w:val="44"/>
          <w:highlight w:val="none"/>
        </w:rPr>
        <w:t>合同</w:t>
      </w:r>
      <w:r>
        <w:rPr>
          <w:rFonts w:hint="eastAsia" w:ascii="宋体" w:hAnsi="宋体" w:eastAsia="宋体" w:cs="宋体"/>
          <w:b/>
          <w:sz w:val="40"/>
          <w:szCs w:val="15"/>
        </w:rPr>
        <w:t>（示范文本）</w:t>
      </w:r>
    </w:p>
    <w:p w14:paraId="130597ED">
      <w:pPr>
        <w:jc w:val="both"/>
        <w:outlineLvl w:val="9"/>
        <w:rPr>
          <w:rFonts w:hint="eastAsia"/>
          <w:lang w:val="en-US" w:eastAsia="zh-CN"/>
        </w:rPr>
      </w:pPr>
    </w:p>
    <w:p w14:paraId="6762F48A">
      <w:pPr>
        <w:jc w:val="both"/>
        <w:outlineLvl w:val="9"/>
        <w:rPr>
          <w:rFonts w:hint="eastAsia"/>
          <w:lang w:val="en-US" w:eastAsia="zh-CN"/>
        </w:rPr>
      </w:pPr>
    </w:p>
    <w:p w14:paraId="330F24FD">
      <w:pPr>
        <w:jc w:val="both"/>
        <w:outlineLvl w:val="9"/>
        <w:rPr>
          <w:rFonts w:hint="eastAsia"/>
          <w:lang w:val="en-US" w:eastAsia="zh-CN"/>
        </w:rPr>
      </w:pPr>
    </w:p>
    <w:p w14:paraId="13D4341E">
      <w:pPr>
        <w:jc w:val="both"/>
        <w:outlineLvl w:val="9"/>
        <w:rPr>
          <w:rFonts w:hint="eastAsia"/>
          <w:lang w:val="en-US" w:eastAsia="zh-CN"/>
        </w:rPr>
      </w:pPr>
    </w:p>
    <w:p w14:paraId="2B62DF12">
      <w:pPr>
        <w:jc w:val="both"/>
        <w:outlineLvl w:val="9"/>
        <w:rPr>
          <w:rFonts w:hint="eastAsia"/>
          <w:lang w:val="en-US" w:eastAsia="zh-CN"/>
        </w:rPr>
      </w:pPr>
    </w:p>
    <w:p w14:paraId="5F276DE1">
      <w:pPr>
        <w:jc w:val="both"/>
        <w:outlineLvl w:val="9"/>
        <w:rPr>
          <w:rFonts w:hint="eastAsia"/>
          <w:lang w:val="en-US" w:eastAsia="zh-CN"/>
        </w:rPr>
      </w:pPr>
    </w:p>
    <w:p w14:paraId="07FD7C89">
      <w:pPr>
        <w:jc w:val="both"/>
        <w:outlineLvl w:val="9"/>
        <w:rPr>
          <w:rFonts w:hint="eastAsia"/>
          <w:lang w:val="en-US" w:eastAsia="zh-CN"/>
        </w:rPr>
      </w:pPr>
    </w:p>
    <w:p w14:paraId="593AE0F8">
      <w:pPr>
        <w:jc w:val="both"/>
        <w:outlineLvl w:val="9"/>
        <w:rPr>
          <w:rFonts w:hint="eastAsia"/>
          <w:lang w:val="en-US" w:eastAsia="zh-CN"/>
        </w:rPr>
      </w:pPr>
    </w:p>
    <w:p w14:paraId="0038E8D1">
      <w:pPr>
        <w:jc w:val="both"/>
        <w:outlineLvl w:val="9"/>
        <w:rPr>
          <w:rFonts w:hint="eastAsia"/>
          <w:lang w:val="en-US" w:eastAsia="zh-CN"/>
        </w:rPr>
      </w:pPr>
    </w:p>
    <w:p w14:paraId="26EBB56E">
      <w:pPr>
        <w:jc w:val="both"/>
        <w:outlineLvl w:val="9"/>
        <w:rPr>
          <w:rFonts w:hint="eastAsia"/>
          <w:lang w:val="en-US" w:eastAsia="zh-CN"/>
        </w:rPr>
      </w:pPr>
    </w:p>
    <w:p w14:paraId="34665B3F">
      <w:pPr>
        <w:jc w:val="both"/>
        <w:outlineLvl w:val="9"/>
        <w:rPr>
          <w:rFonts w:hint="eastAsia"/>
          <w:lang w:val="en-US" w:eastAsia="zh-CN"/>
        </w:rPr>
      </w:pPr>
    </w:p>
    <w:p w14:paraId="55328990">
      <w:pPr>
        <w:jc w:val="both"/>
        <w:outlineLvl w:val="9"/>
        <w:rPr>
          <w:rFonts w:hint="eastAsia"/>
          <w:lang w:val="en-US" w:eastAsia="zh-CN"/>
        </w:rPr>
      </w:pPr>
    </w:p>
    <w:p w14:paraId="6A93BA80">
      <w:pPr>
        <w:jc w:val="both"/>
        <w:outlineLvl w:val="9"/>
        <w:rPr>
          <w:rFonts w:hint="eastAsia"/>
          <w:lang w:val="en-US" w:eastAsia="zh-CN"/>
        </w:rPr>
      </w:pPr>
    </w:p>
    <w:p w14:paraId="1B4160EF">
      <w:pPr>
        <w:jc w:val="both"/>
        <w:outlineLvl w:val="9"/>
        <w:rPr>
          <w:rFonts w:hint="eastAsia"/>
          <w:lang w:val="en-US" w:eastAsia="zh-CN"/>
        </w:rPr>
      </w:pPr>
    </w:p>
    <w:p w14:paraId="67BA9B2D">
      <w:pPr>
        <w:jc w:val="both"/>
        <w:outlineLvl w:val="9"/>
        <w:rPr>
          <w:rFonts w:hint="eastAsia"/>
          <w:lang w:val="en-US" w:eastAsia="zh-CN"/>
        </w:rPr>
      </w:pPr>
    </w:p>
    <w:p w14:paraId="1222EAA1">
      <w:pPr>
        <w:jc w:val="both"/>
        <w:outlineLvl w:val="9"/>
        <w:rPr>
          <w:rFonts w:hint="eastAsia"/>
          <w:lang w:val="en-US" w:eastAsia="zh-CN"/>
        </w:rPr>
      </w:pPr>
    </w:p>
    <w:p w14:paraId="4E2E444C">
      <w:pPr>
        <w:jc w:val="both"/>
        <w:outlineLvl w:val="9"/>
        <w:rPr>
          <w:rFonts w:hint="eastAsia"/>
          <w:lang w:val="en-US" w:eastAsia="zh-CN"/>
        </w:rPr>
      </w:pPr>
    </w:p>
    <w:p w14:paraId="727E6886">
      <w:pPr>
        <w:jc w:val="both"/>
        <w:outlineLvl w:val="9"/>
        <w:rPr>
          <w:rFonts w:hint="eastAsia"/>
          <w:lang w:val="en-US" w:eastAsia="zh-CN"/>
        </w:rPr>
      </w:pPr>
    </w:p>
    <w:p w14:paraId="1090C445">
      <w:pPr>
        <w:jc w:val="both"/>
        <w:outlineLvl w:val="9"/>
        <w:rPr>
          <w:rFonts w:hint="eastAsia"/>
          <w:lang w:val="en-US" w:eastAsia="zh-CN"/>
        </w:rPr>
      </w:pPr>
    </w:p>
    <w:p w14:paraId="7FE1C854">
      <w:pPr>
        <w:jc w:val="both"/>
        <w:outlineLvl w:val="9"/>
        <w:rPr>
          <w:rFonts w:hint="eastAsia"/>
          <w:lang w:val="en-US" w:eastAsia="zh-CN"/>
        </w:rPr>
      </w:pPr>
    </w:p>
    <w:p w14:paraId="6F90675B">
      <w:pPr>
        <w:jc w:val="both"/>
        <w:outlineLvl w:val="9"/>
        <w:rPr>
          <w:rFonts w:hint="eastAsia"/>
          <w:lang w:val="en-US" w:eastAsia="zh-CN"/>
        </w:rPr>
      </w:pPr>
    </w:p>
    <w:p w14:paraId="01A4B88D">
      <w:pPr>
        <w:jc w:val="both"/>
        <w:outlineLvl w:val="9"/>
        <w:rPr>
          <w:rFonts w:hint="eastAsia"/>
          <w:lang w:val="en-US" w:eastAsia="zh-CN"/>
        </w:rPr>
      </w:pPr>
    </w:p>
    <w:p w14:paraId="6E27C8AD">
      <w:pPr>
        <w:jc w:val="both"/>
        <w:outlineLvl w:val="9"/>
        <w:rPr>
          <w:rFonts w:hint="eastAsia"/>
          <w:lang w:val="en-US" w:eastAsia="zh-CN"/>
        </w:rPr>
      </w:pPr>
    </w:p>
    <w:p w14:paraId="0DD42C47">
      <w:pPr>
        <w:jc w:val="both"/>
        <w:outlineLvl w:val="9"/>
        <w:rPr>
          <w:rFonts w:hint="eastAsia"/>
          <w:lang w:val="en-US" w:eastAsia="zh-CN"/>
        </w:rPr>
      </w:pPr>
    </w:p>
    <w:p w14:paraId="15D08AF4">
      <w:pPr>
        <w:jc w:val="both"/>
        <w:outlineLvl w:val="9"/>
        <w:rPr>
          <w:rFonts w:hint="eastAsia"/>
          <w:lang w:val="en-US" w:eastAsia="zh-CN"/>
        </w:rPr>
      </w:pPr>
    </w:p>
    <w:p w14:paraId="1A483A0A">
      <w:pPr>
        <w:spacing w:before="214"/>
        <w:ind w:left="1055" w:right="598"/>
        <w:jc w:val="center"/>
        <w:rPr>
          <w:rFonts w:hint="eastAsia" w:ascii="宋体" w:hAnsi="宋体" w:eastAsia="宋体" w:cs="宋体"/>
          <w:b/>
          <w:sz w:val="32"/>
        </w:rPr>
      </w:pPr>
    </w:p>
    <w:p w14:paraId="424B70C8">
      <w:pPr>
        <w:shd w:val="clear" w:color="auto" w:fill="auto"/>
        <w:spacing w:line="360" w:lineRule="auto"/>
        <w:ind w:firstLine="981" w:firstLineChars="349"/>
        <w:rPr>
          <w:rFonts w:hint="eastAsia" w:ascii="宋体" w:hAnsi="宋体" w:eastAsia="宋体" w:cs="宋体"/>
          <w:b/>
          <w:bCs/>
          <w:sz w:val="28"/>
          <w:szCs w:val="28"/>
          <w:u w:val="single"/>
        </w:rPr>
        <w:sectPr>
          <w:headerReference r:id="rId4" w:type="first"/>
          <w:footerReference r:id="rId6" w:type="first"/>
          <w:headerReference r:id="rId3" w:type="default"/>
          <w:footerReference r:id="rId5" w:type="default"/>
          <w:pgSz w:w="11905" w:h="16838"/>
          <w:pgMar w:top="1440" w:right="1287" w:bottom="1440" w:left="1054" w:header="1134" w:footer="1134" w:gutter="567"/>
          <w:pgNumType w:fmt="decimal"/>
          <w:cols w:space="720" w:num="1"/>
          <w:titlePg/>
          <w:docGrid w:linePitch="312" w:charSpace="0"/>
        </w:sectPr>
      </w:pPr>
    </w:p>
    <w:p w14:paraId="2C097F67">
      <w:pPr>
        <w:keepNext w:val="0"/>
        <w:keepLines w:val="0"/>
        <w:pageBreakBefore w:val="0"/>
        <w:widowControl w:val="0"/>
        <w:kinsoku/>
        <w:wordWrap/>
        <w:overflowPunct/>
        <w:topLinePunct w:val="0"/>
        <w:autoSpaceDE/>
        <w:autoSpaceDN/>
        <w:bidi w:val="0"/>
        <w:adjustRightInd/>
        <w:snapToGrid/>
        <w:spacing w:before="120" w:after="120" w:line="360" w:lineRule="auto"/>
        <w:ind w:left="0"/>
        <w:jc w:val="left"/>
        <w:textAlignment w:val="auto"/>
        <w:rPr>
          <w:rFonts w:hint="eastAsia" w:ascii="宋体" w:hAnsi="宋体" w:eastAsia="宋体" w:cs="宋体"/>
          <w:b/>
          <w:sz w:val="22"/>
        </w:rPr>
      </w:pPr>
      <w:r>
        <w:rPr>
          <w:rFonts w:hint="eastAsia" w:ascii="宋体" w:hAnsi="宋体" w:eastAsia="宋体" w:cs="宋体"/>
          <w:b/>
          <w:sz w:val="22"/>
        </w:rPr>
        <w:t>采购项目名称：</w:t>
      </w:r>
    </w:p>
    <w:p w14:paraId="0765B9C1">
      <w:pPr>
        <w:keepNext w:val="0"/>
        <w:keepLines w:val="0"/>
        <w:pageBreakBefore w:val="0"/>
        <w:widowControl w:val="0"/>
        <w:kinsoku/>
        <w:wordWrap/>
        <w:overflowPunct/>
        <w:topLinePunct w:val="0"/>
        <w:autoSpaceDE/>
        <w:autoSpaceDN/>
        <w:bidi w:val="0"/>
        <w:adjustRightInd/>
        <w:snapToGrid/>
        <w:spacing w:before="120" w:after="120" w:line="360" w:lineRule="auto"/>
        <w:ind w:left="0"/>
        <w:jc w:val="left"/>
        <w:textAlignment w:val="auto"/>
        <w:rPr>
          <w:rFonts w:hint="eastAsia" w:ascii="宋体" w:hAnsi="宋体" w:eastAsia="宋体" w:cs="宋体"/>
        </w:rPr>
      </w:pPr>
      <w:r>
        <w:rPr>
          <w:rFonts w:hint="eastAsia" w:ascii="宋体" w:hAnsi="宋体" w:eastAsia="宋体" w:cs="宋体"/>
          <w:b/>
          <w:sz w:val="22"/>
        </w:rPr>
        <w:t>签订地点：</w:t>
      </w:r>
    </w:p>
    <w:p w14:paraId="39995DAB">
      <w:pPr>
        <w:keepNext w:val="0"/>
        <w:keepLines w:val="0"/>
        <w:pageBreakBefore w:val="0"/>
        <w:widowControl w:val="0"/>
        <w:kinsoku/>
        <w:wordWrap/>
        <w:overflowPunct/>
        <w:topLinePunct w:val="0"/>
        <w:autoSpaceDE/>
        <w:autoSpaceDN/>
        <w:bidi w:val="0"/>
        <w:adjustRightInd/>
        <w:snapToGrid/>
        <w:spacing w:before="120" w:after="120" w:line="360" w:lineRule="auto"/>
        <w:ind w:left="0"/>
        <w:jc w:val="left"/>
        <w:textAlignment w:val="auto"/>
        <w:rPr>
          <w:rFonts w:hint="eastAsia" w:ascii="宋体" w:hAnsi="宋体" w:eastAsia="宋体" w:cs="宋体"/>
        </w:rPr>
      </w:pPr>
      <w:r>
        <w:rPr>
          <w:rFonts w:hint="eastAsia" w:ascii="宋体" w:hAnsi="宋体" w:eastAsia="宋体" w:cs="宋体"/>
          <w:b/>
          <w:sz w:val="22"/>
        </w:rPr>
        <w:t>签订日期：</w:t>
      </w:r>
    </w:p>
    <w:p w14:paraId="103F384D">
      <w:pPr>
        <w:keepNext w:val="0"/>
        <w:keepLines w:val="0"/>
        <w:pageBreakBefore w:val="0"/>
        <w:widowControl w:val="0"/>
        <w:kinsoku/>
        <w:wordWrap/>
        <w:overflowPunct/>
        <w:topLinePunct w:val="0"/>
        <w:autoSpaceDE/>
        <w:autoSpaceDN/>
        <w:bidi w:val="0"/>
        <w:adjustRightInd/>
        <w:snapToGrid/>
        <w:spacing w:before="120" w:after="120" w:line="360" w:lineRule="auto"/>
        <w:ind w:left="0"/>
        <w:jc w:val="left"/>
        <w:textAlignment w:val="auto"/>
        <w:rPr>
          <w:rFonts w:hint="eastAsia" w:ascii="宋体" w:hAnsi="宋体" w:eastAsia="宋体" w:cs="宋体"/>
          <w:b/>
          <w:sz w:val="22"/>
          <w:lang w:eastAsia="zh-CN"/>
        </w:rPr>
      </w:pPr>
      <w:r>
        <w:rPr>
          <w:rFonts w:hint="eastAsia" w:ascii="宋体" w:hAnsi="宋体" w:eastAsia="宋体" w:cs="宋体"/>
          <w:b/>
          <w:sz w:val="22"/>
        </w:rPr>
        <w:t>甲方（采购人）</w:t>
      </w:r>
      <w:r>
        <w:rPr>
          <w:rFonts w:hint="eastAsia" w:ascii="宋体" w:hAnsi="宋体" w:eastAsia="宋体" w:cs="宋体"/>
          <w:b/>
          <w:sz w:val="22"/>
          <w:lang w:eastAsia="zh-CN"/>
        </w:rPr>
        <w:t>：</w:t>
      </w:r>
    </w:p>
    <w:p w14:paraId="24E535E7">
      <w:pPr>
        <w:keepNext w:val="0"/>
        <w:keepLines w:val="0"/>
        <w:pageBreakBefore w:val="0"/>
        <w:widowControl w:val="0"/>
        <w:kinsoku/>
        <w:wordWrap/>
        <w:overflowPunct/>
        <w:topLinePunct w:val="0"/>
        <w:autoSpaceDE/>
        <w:autoSpaceDN/>
        <w:bidi w:val="0"/>
        <w:adjustRightInd/>
        <w:snapToGrid/>
        <w:spacing w:before="120" w:after="120" w:line="360" w:lineRule="auto"/>
        <w:ind w:left="0"/>
        <w:jc w:val="left"/>
        <w:textAlignment w:val="auto"/>
        <w:rPr>
          <w:rFonts w:hint="eastAsia" w:ascii="宋体" w:hAnsi="宋体" w:eastAsia="宋体" w:cs="宋体"/>
          <w:b/>
          <w:sz w:val="22"/>
          <w:lang w:eastAsia="zh-CN"/>
        </w:rPr>
      </w:pPr>
      <w:r>
        <w:rPr>
          <w:rFonts w:hint="eastAsia" w:ascii="宋体" w:hAnsi="宋体" w:eastAsia="宋体" w:cs="宋体"/>
          <w:b/>
          <w:sz w:val="22"/>
        </w:rPr>
        <w:t>地址：</w:t>
      </w:r>
    </w:p>
    <w:p w14:paraId="39179ACD">
      <w:pPr>
        <w:keepNext w:val="0"/>
        <w:keepLines w:val="0"/>
        <w:pageBreakBefore w:val="0"/>
        <w:widowControl w:val="0"/>
        <w:kinsoku/>
        <w:wordWrap/>
        <w:overflowPunct/>
        <w:topLinePunct w:val="0"/>
        <w:autoSpaceDE/>
        <w:autoSpaceDN/>
        <w:bidi w:val="0"/>
        <w:adjustRightInd/>
        <w:snapToGrid/>
        <w:spacing w:before="120" w:after="120" w:line="360" w:lineRule="auto"/>
        <w:ind w:left="0"/>
        <w:jc w:val="left"/>
        <w:textAlignment w:val="auto"/>
        <w:rPr>
          <w:rFonts w:hint="eastAsia" w:ascii="宋体" w:hAnsi="宋体" w:eastAsia="宋体" w:cs="宋体"/>
          <w:b/>
          <w:sz w:val="22"/>
          <w:lang w:eastAsia="zh-CN"/>
        </w:rPr>
      </w:pPr>
      <w:r>
        <w:rPr>
          <w:rFonts w:hint="eastAsia" w:ascii="宋体" w:hAnsi="宋体" w:eastAsia="宋体" w:cs="宋体"/>
          <w:b/>
          <w:sz w:val="22"/>
        </w:rPr>
        <w:t>乙方（供应商/服务承接方）</w:t>
      </w:r>
      <w:r>
        <w:rPr>
          <w:rFonts w:hint="eastAsia" w:ascii="宋体" w:hAnsi="宋体" w:eastAsia="宋体" w:cs="宋体"/>
          <w:b/>
          <w:sz w:val="22"/>
          <w:lang w:eastAsia="zh-CN"/>
        </w:rPr>
        <w:t>：</w:t>
      </w:r>
    </w:p>
    <w:p w14:paraId="6F08E337">
      <w:pPr>
        <w:keepNext w:val="0"/>
        <w:keepLines w:val="0"/>
        <w:pageBreakBefore w:val="0"/>
        <w:widowControl w:val="0"/>
        <w:kinsoku/>
        <w:wordWrap/>
        <w:overflowPunct/>
        <w:topLinePunct w:val="0"/>
        <w:autoSpaceDE/>
        <w:autoSpaceDN/>
        <w:bidi w:val="0"/>
        <w:adjustRightInd/>
        <w:snapToGrid/>
        <w:spacing w:before="120" w:after="120" w:line="360" w:lineRule="auto"/>
        <w:ind w:left="0"/>
        <w:jc w:val="left"/>
        <w:textAlignment w:val="auto"/>
        <w:rPr>
          <w:rFonts w:hint="eastAsia" w:ascii="宋体" w:hAnsi="宋体" w:eastAsia="宋体" w:cs="宋体"/>
          <w:b/>
          <w:sz w:val="22"/>
        </w:rPr>
      </w:pPr>
      <w:r>
        <w:rPr>
          <w:rFonts w:hint="eastAsia" w:ascii="宋体" w:hAnsi="宋体" w:eastAsia="宋体" w:cs="宋体"/>
          <w:b/>
          <w:sz w:val="22"/>
        </w:rPr>
        <w:t>地址：</w:t>
      </w:r>
    </w:p>
    <w:p w14:paraId="771ED79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rPr>
          <w:rFonts w:hint="eastAsia" w:ascii="宋体" w:hAnsi="宋体" w:eastAsia="宋体" w:cs="宋体"/>
        </w:rPr>
      </w:pPr>
      <w:r>
        <w:rPr>
          <w:rFonts w:hint="eastAsia" w:ascii="宋体" w:hAnsi="宋体" w:eastAsia="宋体" w:cs="宋体"/>
          <w:sz w:val="22"/>
        </w:rPr>
        <w:t>依据《中华人民共和国民法典》《中华人民共和国政府采购法》《中华人民共和国政府采购法实施条例》等相关法律法规，本项目经政府采购【公开招标/竞争性磋商/询价】方式确定乙方为中标（成交）服务单位。甲乙双方本着平等自愿、公平诚信、权责统一的原则，就本专项规划编制服务项目达成如下协议，双方共同遵照执行。</w:t>
      </w:r>
    </w:p>
    <w:p w14:paraId="1AACE28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rPr>
      </w:pPr>
      <w:bookmarkStart w:id="0" w:name="heading_0"/>
      <w:r>
        <w:rPr>
          <w:rFonts w:hint="eastAsia" w:ascii="宋体" w:hAnsi="宋体" w:eastAsia="宋体" w:cs="宋体"/>
          <w:b/>
          <w:sz w:val="32"/>
        </w:rPr>
        <w:t>第一条 项目概况与服务范围</w:t>
      </w:r>
      <w:bookmarkEnd w:id="0"/>
    </w:p>
    <w:p w14:paraId="02E7F6C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1.1 项目名称</w:t>
      </w:r>
      <w:r>
        <w:rPr>
          <w:rFonts w:hint="eastAsia" w:ascii="宋体" w:hAnsi="宋体" w:eastAsia="宋体" w:cs="宋体"/>
          <w:sz w:val="24"/>
          <w:szCs w:val="24"/>
          <w:lang w:eastAsia="zh-CN"/>
        </w:rPr>
        <w:t>：</w:t>
      </w:r>
    </w:p>
    <w:p w14:paraId="762E2F0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1.2 服务周期：</w:t>
      </w:r>
    </w:p>
    <w:p w14:paraId="67D7E1F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1.3 服务范围：</w:t>
      </w:r>
    </w:p>
    <w:p w14:paraId="168D035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rPr>
      </w:pPr>
      <w:r>
        <w:rPr>
          <w:rFonts w:hint="eastAsia" w:ascii="宋体" w:hAnsi="宋体" w:eastAsia="宋体" w:cs="宋体"/>
          <w:sz w:val="24"/>
          <w:szCs w:val="24"/>
        </w:rPr>
        <w:t>1.4 服务依据：</w:t>
      </w:r>
      <w:r>
        <w:rPr>
          <w:rFonts w:hint="eastAsia" w:ascii="宋体" w:hAnsi="宋体" w:eastAsia="宋体" w:cs="宋体"/>
          <w:sz w:val="22"/>
        </w:rPr>
        <w:t>严格遵循国家现行规划编制导则、行业技术标准、地方发展规划要求、项目采购文件、乙方中标响应文件及答疑纪要、补充公告等全部采购资料，所有成果需满足行政审批及落地实施要求。</w:t>
      </w:r>
    </w:p>
    <w:p w14:paraId="355CDD5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32"/>
        </w:rPr>
      </w:pPr>
      <w:bookmarkStart w:id="1" w:name="heading_1"/>
      <w:r>
        <w:rPr>
          <w:rFonts w:hint="eastAsia" w:ascii="宋体" w:hAnsi="宋体" w:eastAsia="宋体" w:cs="宋体"/>
          <w:b/>
          <w:sz w:val="32"/>
        </w:rPr>
        <w:t>第二条 服务内容与工作要求</w:t>
      </w:r>
      <w:bookmarkEnd w:id="1"/>
    </w:p>
    <w:p w14:paraId="2CA870D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2.1 前期调研阶段：乙方组建专项工作团队，开展实地调研、资料收集、数据核查、座谈访谈，全面梳理区域发展现状、短板问题、资源禀赋、政策基础，形成详实的现状调研报告及基础数据分析报告，为规划编制提供依据。</w:t>
      </w:r>
    </w:p>
    <w:p w14:paraId="2489A21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2.2 规划初稿编制阶段：结合调研成果，编制专项规划初稿，明确规划指导思想、基本原则、发展目标、总体布局、重点任务、重点项目清单、实施路径、保障机制等核心内容，确保内容完整、数据准确、逻辑严谨、贴合区域实际。</w:t>
      </w:r>
    </w:p>
    <w:p w14:paraId="66E7FA1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2.3 征求意见与修改完善阶段：配合甲方开展部门征求意见、公众公示、专家初审等工作，全面收集各方意见，逐条梳理、整改优化，形成规划送审稿。</w:t>
      </w:r>
    </w:p>
    <w:p w14:paraId="3A6B9C1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2.4 评审报批阶段：负责组织或配合甲方组织专家评审会，根据评审意见完成最终修改完善，形成正式报批稿，全程配合甲方完成主管部门审核、政府批复等全部报批流程。</w:t>
      </w:r>
    </w:p>
    <w:p w14:paraId="13510F4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2.5 配套服务：全程提供技术答疑、汇报讲解、资料补充、成果校核服务，规划批复后根据甲方需求提供成果解读、落地指导、项目动态调整等后续配套服务。</w:t>
      </w:r>
    </w:p>
    <w:p w14:paraId="6F8DDEF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32"/>
        </w:rPr>
      </w:pPr>
      <w:bookmarkStart w:id="2" w:name="heading_2"/>
      <w:r>
        <w:rPr>
          <w:rFonts w:hint="eastAsia" w:ascii="宋体" w:hAnsi="宋体" w:eastAsia="宋体" w:cs="宋体"/>
          <w:b/>
          <w:sz w:val="32"/>
        </w:rPr>
        <w:t>第三条 成果交付标准与交付物</w:t>
      </w:r>
      <w:bookmarkEnd w:id="2"/>
    </w:p>
    <w:p w14:paraId="256BF3D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 质量标准：所有规划成果必须符合国家、行业、地方现行规划编制规范、技术标准及政策要求，符合本项目采购文件约定，内容科学合规、数据真实准确、措施可行有效，最终成果需通过甲方审核及主管部门正式批复，满足落地实施、督查考核、备案归档要求。</w:t>
      </w:r>
    </w:p>
    <w:p w14:paraId="09882B1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3.2 交付成果清单（可根据项目实际调整）：</w:t>
      </w:r>
    </w:p>
    <w:p w14:paraId="6E7D845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（1）现状调研报告、基础数据分析报告；</w:t>
      </w:r>
    </w:p>
    <w:p w14:paraId="180A041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（2）专项规划文本、规划图集、编制说明；</w:t>
      </w:r>
    </w:p>
    <w:p w14:paraId="7DA86EB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（3）重点项目库、任务分工清单、实施保障方案；</w:t>
      </w:r>
    </w:p>
    <w:p w14:paraId="2517AE8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2"/>
        <w:rPr>
          <w:rFonts w:hint="eastAsia" w:ascii="宋体" w:hAnsi="宋体" w:eastAsia="宋体" w:cs="宋体"/>
          <w:sz w:val="24"/>
          <w:szCs w:val="24"/>
        </w:rPr>
      </w:pPr>
      <w:r>
        <w:rPr>
          <w:rFonts w:hint="eastAsia" w:ascii="宋体" w:hAnsi="宋体" w:eastAsia="宋体" w:cs="宋体"/>
          <w:sz w:val="24"/>
          <w:szCs w:val="24"/>
        </w:rPr>
        <w:t>（4）征求意见汇总及修改说明、专家评审意见及整改回复；</w:t>
      </w:r>
    </w:p>
    <w:p w14:paraId="4856907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（5）最终正式报批全套成果文件。</w:t>
      </w:r>
    </w:p>
    <w:p w14:paraId="5CC263D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3.3 交付形式：交付纸质版【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套】（精装装订、图文清晰、签章完整），同时交付全套可编辑电子文档（Word、PDF、CAD、JPG等对应格式），电子文件无水印、无缺失、可正常使用。</w:t>
      </w:r>
    </w:p>
    <w:p w14:paraId="36B657AF">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3.4 交付时限：乙方需在【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日】前完成全部初稿交付，【</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日】前完成送审稿交付，【</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日】前完成最终批复版成果全部交付，全程配合甲方进度要求完成阶段性工作。</w:t>
      </w:r>
    </w:p>
    <w:p w14:paraId="390F228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32"/>
        </w:rPr>
      </w:pPr>
      <w:bookmarkStart w:id="3" w:name="heading_3"/>
      <w:r>
        <w:rPr>
          <w:rFonts w:hint="eastAsia" w:ascii="宋体" w:hAnsi="宋体" w:eastAsia="宋体" w:cs="宋体"/>
          <w:b/>
          <w:sz w:val="32"/>
        </w:rPr>
        <w:t>第四条 合同价款与支付方式</w:t>
      </w:r>
      <w:bookmarkEnd w:id="3"/>
    </w:p>
    <w:p w14:paraId="5F954728">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4.1 合同总价：本项目为固定总价包干，合同总金额人民币（大写）</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元整（¥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元）。该价款包含调研、资料、人工、技术、文印、评审、交通、税费、后续修改、质保服务等乙方完成本合同全部履约工作的所有费用，甲方无需额外支付任何费用。</w:t>
      </w:r>
    </w:p>
    <w:p w14:paraId="49C83615">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4.2 付款方式（适配政府采购常规流程，可按需调整）：</w:t>
      </w:r>
    </w:p>
    <w:p w14:paraId="56F5400B">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预付款</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合同签订之日起，达</w:t>
      </w:r>
      <w:bookmarkStart w:id="14" w:name="_GoBack"/>
      <w:bookmarkEnd w:id="14"/>
      <w:r>
        <w:rPr>
          <w:rFonts w:hint="eastAsia" w:ascii="宋体" w:hAnsi="宋体" w:eastAsia="宋体" w:cs="宋体"/>
          <w:sz w:val="24"/>
          <w:szCs w:val="24"/>
          <w:lang w:val="en-US" w:eastAsia="zh-CN"/>
        </w:rPr>
        <w:t>到付款条件起10个工作日内，支付合同总金额的40.0%</w:t>
      </w:r>
    </w:p>
    <w:p w14:paraId="1BE7B849">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进度款</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经审核，完成所有成果后提交甲方，达到付款条件起10个工作日内，支付合同总金额的60.0%</w:t>
      </w:r>
    </w:p>
    <w:p w14:paraId="2DD9D55D">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4.3 付款要求：乙方需在甲方付款前提供合法合规、等额有效的增值税发票，否则甲方有权顺延付款，不承担任何违约责任。所有款项支付均通过国库集中支付流程办理，付款时限以财政审批拨付进度为准。</w:t>
      </w:r>
    </w:p>
    <w:p w14:paraId="57FED7F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32"/>
        </w:rPr>
      </w:pPr>
      <w:bookmarkStart w:id="4" w:name="heading_4"/>
      <w:r>
        <w:rPr>
          <w:rFonts w:hint="eastAsia" w:ascii="宋体" w:hAnsi="宋体" w:eastAsia="宋体" w:cs="宋体"/>
          <w:b/>
          <w:sz w:val="32"/>
        </w:rPr>
        <w:t>第五条 双方权利与义务</w:t>
      </w:r>
      <w:bookmarkEnd w:id="4"/>
    </w:p>
    <w:p w14:paraId="19CCE5B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2"/>
        <w:rPr>
          <w:rFonts w:hint="eastAsia" w:ascii="宋体" w:hAnsi="宋体" w:eastAsia="宋体" w:cs="宋体"/>
        </w:rPr>
      </w:pPr>
      <w:bookmarkStart w:id="5" w:name="heading_5"/>
      <w:r>
        <w:rPr>
          <w:rFonts w:hint="eastAsia" w:ascii="宋体" w:hAnsi="宋体" w:eastAsia="宋体" w:cs="宋体"/>
          <w:b/>
          <w:sz w:val="30"/>
        </w:rPr>
        <w:t>5.1 甲方权利与义务</w:t>
      </w:r>
      <w:bookmarkEnd w:id="5"/>
    </w:p>
    <w:p w14:paraId="2D011BC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rPr>
      </w:pPr>
      <w:r>
        <w:rPr>
          <w:rFonts w:hint="eastAsia" w:ascii="宋体" w:hAnsi="宋体" w:eastAsia="宋体" w:cs="宋体"/>
          <w:sz w:val="22"/>
        </w:rPr>
        <w:t>（1）甲方有权对乙方服务进度、服务质量、成果内容进行全程监督、检查、审核，对不符合要求的成果有权要求乙方无偿修改、返工；</w:t>
      </w:r>
    </w:p>
    <w:p w14:paraId="1261C53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rPr>
      </w:pPr>
      <w:r>
        <w:rPr>
          <w:rFonts w:hint="eastAsia" w:ascii="宋体" w:hAnsi="宋体" w:eastAsia="宋体" w:cs="宋体"/>
          <w:sz w:val="22"/>
        </w:rPr>
        <w:t>（2）甲方负责及时提供项目所需基础资料、政策文件、统计数据，协调相关部门配合乙方调研工作；</w:t>
      </w:r>
    </w:p>
    <w:p w14:paraId="2638988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rPr>
      </w:pPr>
      <w:r>
        <w:rPr>
          <w:rFonts w:hint="eastAsia" w:ascii="宋体" w:hAnsi="宋体" w:eastAsia="宋体" w:cs="宋体"/>
          <w:sz w:val="22"/>
        </w:rPr>
        <w:t>（3）甲方负责统筹组织项目评审、征求意见、报批等相关工作，及时反馈审核意见；</w:t>
      </w:r>
    </w:p>
    <w:p w14:paraId="757E581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rPr>
      </w:pPr>
      <w:r>
        <w:rPr>
          <w:rFonts w:hint="eastAsia" w:ascii="宋体" w:hAnsi="宋体" w:eastAsia="宋体" w:cs="宋体"/>
          <w:sz w:val="22"/>
        </w:rPr>
        <w:t>（4）甲方按照合同约定及时履行付款义务，保障项目顺利推进。</w:t>
      </w:r>
    </w:p>
    <w:p w14:paraId="2CB7623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2"/>
        <w:rPr>
          <w:rFonts w:hint="eastAsia" w:ascii="宋体" w:hAnsi="宋体" w:eastAsia="宋体" w:cs="宋体"/>
          <w:b/>
          <w:sz w:val="30"/>
        </w:rPr>
      </w:pPr>
      <w:bookmarkStart w:id="6" w:name="heading_6"/>
      <w:r>
        <w:rPr>
          <w:rFonts w:hint="eastAsia" w:ascii="宋体" w:hAnsi="宋体" w:eastAsia="宋体" w:cs="宋体"/>
          <w:b/>
          <w:sz w:val="30"/>
        </w:rPr>
        <w:t>5.2 乙方权利与义务</w:t>
      </w:r>
      <w:bookmarkEnd w:id="6"/>
    </w:p>
    <w:p w14:paraId="775E544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（1）乙方须组建专业稳定的服务团队，明确项目负责人及技术骨干，未经甲方书面同意，不得擅自更换核心工作人员；</w:t>
      </w:r>
    </w:p>
    <w:p w14:paraId="2DE69BC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（2）严格按照合同约定、采购要求及行业标准推进工作，按时交付各阶段成果，对成果的真实性、科学性、合规性、合法性全权负责；</w:t>
      </w:r>
    </w:p>
    <w:p w14:paraId="7F727FE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（3）全程配合甲方及主管部门的审核、评审、督查工作，针对各方提出的修改意见，成整改优化，直至成果验收合格、批复落地；</w:t>
      </w:r>
    </w:p>
    <w:p w14:paraId="69F04F4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（4）严格遵守保密规定，对项目调研数据、内部资料、未公开规划成果等涉密信息严格保密，未经甲方书面许可，不得对外泄露、发布、转让或用于本项目以外用途，合同终止后保密义务持续有效；</w:t>
      </w:r>
    </w:p>
    <w:p w14:paraId="2C8CB04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（5）乙方不得转包、违法分包本项目，否则甲方有权单方解除合同、没收履约保证金，并追究乙方违约责任。</w:t>
      </w:r>
    </w:p>
    <w:p w14:paraId="1343F4A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32"/>
        </w:rPr>
      </w:pPr>
      <w:bookmarkStart w:id="7" w:name="heading_7"/>
      <w:r>
        <w:rPr>
          <w:rFonts w:hint="eastAsia" w:ascii="宋体" w:hAnsi="宋体" w:eastAsia="宋体" w:cs="宋体"/>
          <w:b/>
          <w:sz w:val="32"/>
        </w:rPr>
        <w:t>第六条 验收标准与验收流程</w:t>
      </w:r>
      <w:bookmarkEnd w:id="7"/>
    </w:p>
    <w:p w14:paraId="18CFF53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6.1 验收依据：本合同、采购文件、乙方响应文件、国家及行业规划编制标准、主管部门批复要求。</w:t>
      </w:r>
    </w:p>
    <w:p w14:paraId="4FBA524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6.2 验收标准：成果完整齐全、格式规范、数据精准、逻辑清晰，符合区域发展实际及政策要求，通过专家评审、甲方审核及主管部门正式批复，满足归档、落地、考核使用需求。</w:t>
      </w:r>
    </w:p>
    <w:p w14:paraId="4FBE82C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6.3 验收流程：乙方完成全部履约工作后，向甲方提交验收申请及全套成果资料；甲方收到申请后【15】个工作日内组织验收，结合专家评审意见、部门审核意见出具验收结论。验收合格的，签署验收报告；验收不合格的，书面告知乙方整改，乙方须在规定时限内整改完毕并重新申请验收。</w:t>
      </w:r>
    </w:p>
    <w:p w14:paraId="37D1742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32"/>
        </w:rPr>
      </w:pPr>
      <w:bookmarkStart w:id="8" w:name="heading_8"/>
      <w:r>
        <w:rPr>
          <w:rFonts w:hint="eastAsia" w:ascii="宋体" w:hAnsi="宋体" w:eastAsia="宋体" w:cs="宋体"/>
          <w:b/>
          <w:sz w:val="32"/>
        </w:rPr>
        <w:t>第七条 质保服务</w:t>
      </w:r>
      <w:bookmarkEnd w:id="8"/>
    </w:p>
    <w:p w14:paraId="4BE399A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质保期：本项目质保期为【1年】，自项目最终验收合格之日起计算。质保期内，乙方针对规划成果存在的疏漏、偏差、政策适配问题，提供修改、校核、技术咨询等配套服务，随时配合甲方完成成果完善、答疑解读工作。</w:t>
      </w:r>
    </w:p>
    <w:p w14:paraId="29F2B1A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32"/>
        </w:rPr>
      </w:pPr>
      <w:bookmarkStart w:id="9" w:name="heading_9"/>
      <w:r>
        <w:rPr>
          <w:rFonts w:hint="eastAsia" w:ascii="宋体" w:hAnsi="宋体" w:eastAsia="宋体" w:cs="宋体"/>
          <w:b/>
          <w:sz w:val="32"/>
        </w:rPr>
        <w:t>第八条 违约责任</w:t>
      </w:r>
      <w:bookmarkEnd w:id="9"/>
    </w:p>
    <w:p w14:paraId="7FDDE5B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8.1 甲方违约责任：甲方无正当理由逾期付款的，对逾期未付款项按照全国银行间同业拆借中心公布的贷款市场报价利率支付违约金，违约金总额不超过合同总价的5%。</w:t>
      </w:r>
    </w:p>
    <w:p w14:paraId="595A0F8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8.2 乙方违约责任：</w:t>
      </w:r>
    </w:p>
    <w:p w14:paraId="22F6FE2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（1）乙方逾期交付成果的，按照全国银行间同业拆借中心公布的贷款市场报价利率支付违约金，违约金总额不超过合同总价的5%。；</w:t>
      </w:r>
    </w:p>
    <w:p w14:paraId="28D206E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（2）乙方成果质量不合格、多次整改仍无法达到验收标准的，甲方有权解除合同、扣除全部履约保证金，乙方退还已收款项并赔偿甲方经济损失；</w:t>
      </w:r>
    </w:p>
    <w:p w14:paraId="05BA5BF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（3）乙方擅自转包、分包项目或擅自更换核心团队人员的，甲方有权单方解除合同，没收履约保证金，追究乙方全部违约责任；</w:t>
      </w:r>
    </w:p>
    <w:p w14:paraId="0AAEB22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（4）乙方违反保密约定泄露项目信息的，甲方有权扣除履约保证金，情节严重的解除合同并追究其法律责任。</w:t>
      </w:r>
    </w:p>
    <w:p w14:paraId="2D6F0EA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32"/>
        </w:rPr>
      </w:pPr>
      <w:bookmarkStart w:id="10" w:name="heading_10"/>
      <w:r>
        <w:rPr>
          <w:rFonts w:hint="eastAsia" w:ascii="宋体" w:hAnsi="宋体" w:eastAsia="宋体" w:cs="宋体"/>
          <w:b/>
          <w:sz w:val="32"/>
        </w:rPr>
        <w:t>第九条 保密与知识产权</w:t>
      </w:r>
      <w:bookmarkEnd w:id="10"/>
    </w:p>
    <w:p w14:paraId="46939DF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9.1 乙方对在项目实施过程中获取的甲方涉密资料、政务数据、内部文件及未公开规划成果承担永久保密责任，不得擅自传播、复制、商用。</w:t>
      </w:r>
    </w:p>
    <w:p w14:paraId="7769AF4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9.2 本项目全部规划成果、研究报告、图文资料等知识产权归甲方所有。乙方仅享有本项目成果署名权，未经甲方书面授权，不得将成果用于其他项目、对外展示、发表或商用，否则甲方有权追究乙方侵权责任。</w:t>
      </w:r>
    </w:p>
    <w:p w14:paraId="6EAC5A4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32"/>
        </w:rPr>
      </w:pPr>
      <w:bookmarkStart w:id="11" w:name="heading_11"/>
      <w:r>
        <w:rPr>
          <w:rFonts w:hint="eastAsia" w:ascii="宋体" w:hAnsi="宋体" w:eastAsia="宋体" w:cs="宋体"/>
          <w:b/>
          <w:sz w:val="32"/>
        </w:rPr>
        <w:t>第十条 合同变更、解除与终止</w:t>
      </w:r>
      <w:bookmarkEnd w:id="11"/>
    </w:p>
    <w:p w14:paraId="4C02690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10.1 本合同未尽事宜，双方可协商签订补充协议，补充协议与本合同具有同等法律效力。补充协议内容不得违背政府采购相关法律法规及原采购文件约定。</w:t>
      </w:r>
    </w:p>
    <w:p w14:paraId="61D9D6A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10.2 因国家政策调整、重大公共利益需要等不可抗力因素导致项目无法继续实施的，双方可协商解除合同，据实结算已完成工作量费用，互不承担违约责任。</w:t>
      </w:r>
    </w:p>
    <w:p w14:paraId="691E0A7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10.3 一方严重违约且拒不整改的，守约方有权单方解除合同，并依法追究违约方全部责任。</w:t>
      </w:r>
    </w:p>
    <w:p w14:paraId="7E8ECBA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32"/>
        </w:rPr>
      </w:pPr>
      <w:bookmarkStart w:id="12" w:name="heading_12"/>
      <w:r>
        <w:rPr>
          <w:rFonts w:hint="eastAsia" w:ascii="宋体" w:hAnsi="宋体" w:eastAsia="宋体" w:cs="宋体"/>
          <w:b/>
          <w:sz w:val="32"/>
        </w:rPr>
        <w:t>第十一条 争议解决</w:t>
      </w:r>
      <w:bookmarkEnd w:id="12"/>
    </w:p>
    <w:p w14:paraId="352D8CB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本合同履行过程中发生的争议，双方首先友好协商解决；协商不成的，任何一方均有权向甲方所在地人民法院提起诉讼。争议解决期间，除争议事项外，合同其他条款继续履行。</w:t>
      </w:r>
    </w:p>
    <w:p w14:paraId="55089B4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32"/>
        </w:rPr>
      </w:pPr>
      <w:bookmarkStart w:id="13" w:name="heading_13"/>
      <w:r>
        <w:rPr>
          <w:rFonts w:hint="eastAsia" w:ascii="宋体" w:hAnsi="宋体" w:eastAsia="宋体" w:cs="宋体"/>
          <w:b/>
          <w:sz w:val="32"/>
        </w:rPr>
        <w:t>第十二条 其他约定</w:t>
      </w:r>
      <w:bookmarkEnd w:id="13"/>
    </w:p>
    <w:p w14:paraId="5129179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12.1 本合同适用《中华人民共和国民法典》《中华人民共和国政府采购法》等相关法律法规。</w:t>
      </w:r>
    </w:p>
    <w:p w14:paraId="78C1B15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12.2 本项目采购文件、乙方中标（成交）响应文件、评审答疑纪要、中标通知书等资料均为本合同有效组成部分，与本合同具有同等法律效力，约定不一致的，以本合同及采购文件为准。</w:t>
      </w:r>
    </w:p>
    <w:p w14:paraId="30D96B3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12.3 本合同一式【肆】份，甲方执【贰】份，乙方执【壹】份，政府采购监管部门备案【壹】份，自双方签字盖章之日起生效，具有同等法律效力。</w:t>
      </w:r>
    </w:p>
    <w:p w14:paraId="24FA71C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12.4 本合同所有未尽事宜，由双方另行协商确定。</w:t>
      </w:r>
    </w:p>
    <w:p w14:paraId="4534294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（以下无正文）</w:t>
      </w:r>
    </w:p>
    <w:p w14:paraId="5F8CA9C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甲方（盖章）：</w:t>
      </w:r>
    </w:p>
    <w:p w14:paraId="68967F0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法定代表人/授权代表人（签字）：</w:t>
      </w:r>
    </w:p>
    <w:p w14:paraId="6A62EEE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 xml:space="preserve">日期： </w:t>
      </w:r>
      <w:r>
        <w:rPr>
          <w:rFonts w:hint="eastAsia" w:ascii="宋体" w:hAnsi="宋体" w:eastAsia="宋体" w:cs="宋体"/>
          <w:sz w:val="22"/>
          <w:lang w:val="en-US" w:eastAsia="zh-CN"/>
        </w:rPr>
        <w:t xml:space="preserve">  </w:t>
      </w:r>
      <w:r>
        <w:rPr>
          <w:rFonts w:hint="eastAsia" w:ascii="宋体" w:hAnsi="宋体" w:eastAsia="宋体" w:cs="宋体"/>
          <w:sz w:val="22"/>
        </w:rPr>
        <w:t>年</w:t>
      </w:r>
      <w:r>
        <w:rPr>
          <w:rFonts w:hint="eastAsia" w:ascii="宋体" w:hAnsi="宋体" w:eastAsia="宋体" w:cs="宋体"/>
          <w:sz w:val="22"/>
          <w:lang w:val="en-US" w:eastAsia="zh-CN"/>
        </w:rPr>
        <w:t xml:space="preserve">  </w:t>
      </w:r>
      <w:r>
        <w:rPr>
          <w:rFonts w:hint="eastAsia" w:ascii="宋体" w:hAnsi="宋体" w:eastAsia="宋体" w:cs="宋体"/>
          <w:sz w:val="22"/>
        </w:rPr>
        <w:t xml:space="preserve"> </w:t>
      </w:r>
      <w:r>
        <w:rPr>
          <w:rFonts w:hint="eastAsia" w:ascii="宋体" w:hAnsi="宋体" w:eastAsia="宋体" w:cs="宋体"/>
          <w:sz w:val="22"/>
          <w:lang w:val="en-US" w:eastAsia="zh-CN"/>
        </w:rPr>
        <w:t xml:space="preserve"> </w:t>
      </w:r>
      <w:r>
        <w:rPr>
          <w:rFonts w:hint="eastAsia" w:ascii="宋体" w:hAnsi="宋体" w:eastAsia="宋体" w:cs="宋体"/>
          <w:sz w:val="22"/>
        </w:rPr>
        <w:t>月</w:t>
      </w:r>
      <w:r>
        <w:rPr>
          <w:rFonts w:hint="eastAsia" w:ascii="宋体" w:hAnsi="宋体" w:eastAsia="宋体" w:cs="宋体"/>
          <w:sz w:val="22"/>
          <w:lang w:val="en-US" w:eastAsia="zh-CN"/>
        </w:rPr>
        <w:t xml:space="preserve">   </w:t>
      </w:r>
      <w:r>
        <w:rPr>
          <w:rFonts w:hint="eastAsia" w:ascii="宋体" w:hAnsi="宋体" w:eastAsia="宋体" w:cs="宋体"/>
          <w:sz w:val="22"/>
        </w:rPr>
        <w:t xml:space="preserve"> 日</w:t>
      </w:r>
    </w:p>
    <w:p w14:paraId="2CCF80C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乙方（盖章）：</w:t>
      </w:r>
    </w:p>
    <w:p w14:paraId="1E13CF4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法定代表人/授权代表人（签字）：</w:t>
      </w:r>
    </w:p>
    <w:p w14:paraId="69F81A5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2"/>
        </w:rPr>
      </w:pPr>
      <w:r>
        <w:rPr>
          <w:rFonts w:hint="eastAsia" w:ascii="宋体" w:hAnsi="宋体" w:eastAsia="宋体" w:cs="宋体"/>
          <w:sz w:val="22"/>
        </w:rPr>
        <w:t xml:space="preserve">日期： </w:t>
      </w:r>
      <w:r>
        <w:rPr>
          <w:rFonts w:hint="eastAsia" w:ascii="宋体" w:hAnsi="宋体" w:eastAsia="宋体" w:cs="宋体"/>
          <w:sz w:val="22"/>
          <w:lang w:val="en-US" w:eastAsia="zh-CN"/>
        </w:rPr>
        <w:t xml:space="preserve">  </w:t>
      </w:r>
      <w:r>
        <w:rPr>
          <w:rFonts w:hint="eastAsia" w:ascii="宋体" w:hAnsi="宋体" w:eastAsia="宋体" w:cs="宋体"/>
          <w:sz w:val="22"/>
        </w:rPr>
        <w:t xml:space="preserve">年 </w:t>
      </w:r>
      <w:r>
        <w:rPr>
          <w:rFonts w:hint="eastAsia" w:ascii="宋体" w:hAnsi="宋体" w:eastAsia="宋体" w:cs="宋体"/>
          <w:sz w:val="22"/>
          <w:lang w:val="en-US" w:eastAsia="zh-CN"/>
        </w:rPr>
        <w:t xml:space="preserve">   </w:t>
      </w:r>
      <w:r>
        <w:rPr>
          <w:rFonts w:hint="eastAsia" w:ascii="宋体" w:hAnsi="宋体" w:eastAsia="宋体" w:cs="宋体"/>
          <w:sz w:val="22"/>
        </w:rPr>
        <w:t xml:space="preserve">月 </w:t>
      </w:r>
      <w:r>
        <w:rPr>
          <w:rFonts w:hint="eastAsia" w:ascii="宋体" w:hAnsi="宋体" w:eastAsia="宋体" w:cs="宋体"/>
          <w:sz w:val="22"/>
          <w:lang w:val="en-US" w:eastAsia="zh-CN"/>
        </w:rPr>
        <w:t xml:space="preserve">   </w:t>
      </w:r>
      <w:r>
        <w:rPr>
          <w:rFonts w:hint="eastAsia" w:ascii="宋体" w:hAnsi="宋体" w:eastAsia="宋体" w:cs="宋体"/>
          <w:sz w:val="22"/>
        </w:rPr>
        <w:t>日</w:t>
      </w:r>
    </w:p>
    <w:p w14:paraId="43A755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4874D">
    <w:pPr>
      <w:pStyle w:val="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11298">
    <w:pPr>
      <w:spacing w:line="280" w:lineRule="exact"/>
      <w:rPr>
        <w:rFonts w:ascii="宋体" w:hAnsi="宋体"/>
        <w:b/>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FBA67">
    <w:pPr>
      <w:pBdr>
        <w:bottom w:val="none" w:color="auto" w:sz="0" w:space="0"/>
      </w:pBdr>
      <w:jc w:val="center"/>
      <w:rPr>
        <w:rFonts w:ascii="宋体" w:hAnsi="宋体" w:cs="宋体"/>
        <w:bCs/>
        <w:sz w:val="18"/>
        <w:szCs w:val="18"/>
      </w:rPr>
    </w:pPr>
    <w:r>
      <w:rPr>
        <w:rFonts w:hint="eastAsia" w:ascii="宋体" w:hAnsi="宋体" w:cs="宋体"/>
        <w:bCs/>
        <w:sz w:val="18"/>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FB732">
    <w:pPr>
      <w:pBdr>
        <w:bottom w:val="none" w:color="auto" w:sz="0" w:space="0"/>
      </w:pBdr>
      <w:rPr>
        <w:bCs/>
        <w:sz w:val="18"/>
        <w:szCs w:val="18"/>
      </w:rPr>
    </w:pPr>
    <w:r>
      <w:rPr>
        <w:rFonts w:hint="eastAsia" w:ascii="宋体" w:hAnsi="宋体"/>
        <w:bCs/>
        <w:sz w:val="18"/>
        <w:szCs w:val="18"/>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55714F"/>
    <w:rsid w:val="3E581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szCs w:val="18"/>
    </w:rPr>
  </w:style>
  <w:style w:type="paragraph" w:styleId="3">
    <w:name w:val="toc 1"/>
    <w:basedOn w:val="1"/>
    <w:next w:val="1"/>
    <w:qFormat/>
    <w:uiPriority w:val="3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3313</Words>
  <Characters>3399</Characters>
  <Lines>0</Lines>
  <Paragraphs>0</Paragraphs>
  <TotalTime>0</TotalTime>
  <ScaleCrop>false</ScaleCrop>
  <LinksUpToDate>false</LinksUpToDate>
  <CharactersWithSpaces>3512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2026-07-17T09:29:00Z</dcterms:created>
  <dc:creator>Administrator</dc:creator>
  <cp:lastModifiedBy>伤了心的女人怎么办</cp:lastModifiedBy>
  <dcterms:modified xsi:type="dcterms:W3CDTF">2026-07-19T10:23:36Z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eyJoZGlkIjoiZWQ5YTIxOTUwNDU1MDA2YzZhZTRhMmFlMjJjZjAxMzgiLCJ1c2VySWQiOiIxMDYxNDQyNDg1In0=</vt:lpwstr>
  </property>
  <property fmtid="{D5CDD505-2E9C-101B-9397-08002B2CF9AE}" pid="4" name="ICV">
    <vt:lpwstr>F6E46E73D70B46239E215F0ABFD2A691_12</vt:lpwstr>
  </property>
</Properties>
</file>